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B4A" w:rsidRDefault="00810B4A" w:rsidP="00810B4A">
      <w:pPr>
        <w:pStyle w:val="p1"/>
        <w:spacing w:before="240"/>
        <w:jc w:val="center"/>
        <w:rPr>
          <w:b/>
          <w:sz w:val="32"/>
          <w:szCs w:val="32"/>
        </w:rPr>
      </w:pPr>
      <w:r>
        <w:rPr>
          <w:b/>
          <w:sz w:val="32"/>
          <w:szCs w:val="32"/>
        </w:rPr>
        <w:t>SAN DIEGO GAS &amp; ELECTRIC COMPANY</w:t>
      </w:r>
    </w:p>
    <w:p w:rsidR="00810B4A" w:rsidRDefault="00810B4A" w:rsidP="00810B4A">
      <w:pPr>
        <w:pStyle w:val="p1"/>
        <w:spacing w:before="240"/>
        <w:jc w:val="center"/>
        <w:rPr>
          <w:b/>
          <w:sz w:val="32"/>
          <w:szCs w:val="32"/>
        </w:rPr>
      </w:pPr>
      <w:r>
        <w:rPr>
          <w:b/>
          <w:sz w:val="32"/>
          <w:szCs w:val="32"/>
        </w:rPr>
        <w:t xml:space="preserve">Comments </w:t>
      </w:r>
      <w:r>
        <w:rPr>
          <w:b/>
          <w:sz w:val="32"/>
          <w:szCs w:val="32"/>
        </w:rPr>
        <w:t xml:space="preserve">on December 12, 2016 </w:t>
      </w:r>
      <w:r w:rsidRPr="00084EDE">
        <w:rPr>
          <w:b/>
          <w:sz w:val="32"/>
          <w:szCs w:val="32"/>
        </w:rPr>
        <w:t>Potential Study Calibration and Scenarios</w:t>
      </w:r>
      <w:r>
        <w:rPr>
          <w:b/>
          <w:sz w:val="32"/>
          <w:szCs w:val="32"/>
        </w:rPr>
        <w:t xml:space="preserve"> Workshop</w:t>
      </w:r>
    </w:p>
    <w:p w:rsidR="008D6AB4" w:rsidRDefault="008D6AB4" w:rsidP="00810B4A">
      <w:pPr>
        <w:pStyle w:val="p1"/>
        <w:spacing w:before="240"/>
        <w:jc w:val="center"/>
        <w:rPr>
          <w:b/>
          <w:sz w:val="32"/>
          <w:szCs w:val="32"/>
        </w:rPr>
      </w:pPr>
      <w:r>
        <w:rPr>
          <w:b/>
          <w:sz w:val="32"/>
          <w:szCs w:val="32"/>
        </w:rPr>
        <w:t>December 22, 2016</w:t>
      </w:r>
    </w:p>
    <w:p w:rsidR="00810B4A" w:rsidRDefault="00810B4A">
      <w:pPr>
        <w:rPr>
          <w:rFonts w:cstheme="minorHAnsi"/>
        </w:rPr>
      </w:pPr>
    </w:p>
    <w:p w:rsidR="00810B4A" w:rsidRDefault="00810B4A">
      <w:pPr>
        <w:rPr>
          <w:rFonts w:cstheme="minorHAnsi"/>
        </w:rPr>
      </w:pPr>
      <w:r>
        <w:rPr>
          <w:rFonts w:cstheme="minorHAnsi"/>
        </w:rPr>
        <w:t xml:space="preserve">SDG&amp;E appreciated </w:t>
      </w:r>
      <w:r w:rsidR="00866852">
        <w:rPr>
          <w:rFonts w:cstheme="minorHAnsi"/>
        </w:rPr>
        <w:t>Navigant’s</w:t>
      </w:r>
      <w:r>
        <w:rPr>
          <w:rFonts w:cstheme="minorHAnsi"/>
        </w:rPr>
        <w:t xml:space="preserve"> presentation and this opportunity to request clarification</w:t>
      </w:r>
      <w:r w:rsidR="00866852">
        <w:rPr>
          <w:rFonts w:cstheme="minorHAnsi"/>
        </w:rPr>
        <w:t xml:space="preserve"> and respond to selected questions posed </w:t>
      </w:r>
      <w:r w:rsidR="00F815F3">
        <w:rPr>
          <w:rFonts w:cstheme="minorHAnsi"/>
        </w:rPr>
        <w:t>on</w:t>
      </w:r>
      <w:r>
        <w:rPr>
          <w:rFonts w:cstheme="minorHAnsi"/>
        </w:rPr>
        <w:t xml:space="preserve"> specific presentation slides</w:t>
      </w:r>
      <w:r w:rsidR="00F815F3">
        <w:rPr>
          <w:rFonts w:cstheme="minorHAnsi"/>
        </w:rPr>
        <w:t xml:space="preserve"> of </w:t>
      </w:r>
      <w:r w:rsidR="00514BE1">
        <w:rPr>
          <w:rFonts w:cstheme="minorHAnsi"/>
        </w:rPr>
        <w:t>“</w:t>
      </w:r>
      <w:r w:rsidR="00514BE1">
        <w:t>2018 AND BEYOND POTENTIAL STUDY</w:t>
      </w:r>
      <w:r w:rsidR="00514BE1">
        <w:t>”</w:t>
      </w:r>
      <w:r w:rsidR="00F815F3">
        <w:t>.</w:t>
      </w:r>
      <w:r w:rsidR="00F815F3">
        <w:rPr>
          <w:rStyle w:val="FootnoteReference"/>
        </w:rPr>
        <w:footnoteReference w:id="1"/>
      </w:r>
      <w:r w:rsidR="00F815F3">
        <w:t xml:space="preserve"> </w:t>
      </w:r>
    </w:p>
    <w:p w:rsidR="009B71FE" w:rsidRPr="009B71FE" w:rsidRDefault="009B71FE" w:rsidP="00F815F3">
      <w:pPr>
        <w:ind w:left="720"/>
        <w:rPr>
          <w:rFonts w:cstheme="minorHAnsi"/>
        </w:rPr>
      </w:pPr>
      <w:r w:rsidRPr="009B71FE">
        <w:rPr>
          <w:rFonts w:cstheme="minorHAnsi"/>
        </w:rPr>
        <w:t xml:space="preserve">Slide 3- </w:t>
      </w:r>
      <w:r w:rsidR="00810B4A">
        <w:rPr>
          <w:rFonts w:cstheme="minorHAnsi"/>
        </w:rPr>
        <w:t xml:space="preserve">Please </w:t>
      </w:r>
      <w:r w:rsidRPr="009B71FE">
        <w:rPr>
          <w:rFonts w:cstheme="minorHAnsi"/>
        </w:rPr>
        <w:t xml:space="preserve">clarify how you are </w:t>
      </w:r>
      <w:r w:rsidR="00514BE1" w:rsidRPr="009B71FE">
        <w:rPr>
          <w:rFonts w:cstheme="minorHAnsi"/>
        </w:rPr>
        <w:t xml:space="preserve">interpreting </w:t>
      </w:r>
      <w:r w:rsidR="00514BE1">
        <w:rPr>
          <w:rFonts w:cstheme="minorHAnsi"/>
        </w:rPr>
        <w:t xml:space="preserve">SB 350’s language </w:t>
      </w:r>
      <w:r w:rsidRPr="009B71FE">
        <w:rPr>
          <w:rFonts w:cstheme="minorHAnsi"/>
        </w:rPr>
        <w:t>“not restricted by previous levels of utili</w:t>
      </w:r>
      <w:r w:rsidR="00514BE1">
        <w:rPr>
          <w:rFonts w:cstheme="minorHAnsi"/>
        </w:rPr>
        <w:t>ty energy efficiency savings.”  What specific previous study parameters are impacted by removing these “restrictions?”</w:t>
      </w:r>
    </w:p>
    <w:p w:rsidR="009B71FE" w:rsidRPr="009B71FE" w:rsidRDefault="009B71FE" w:rsidP="00F815F3">
      <w:pPr>
        <w:ind w:left="720"/>
        <w:rPr>
          <w:rFonts w:cstheme="minorHAnsi"/>
        </w:rPr>
      </w:pPr>
      <w:r w:rsidRPr="009B71FE">
        <w:rPr>
          <w:rFonts w:cstheme="minorHAnsi"/>
        </w:rPr>
        <w:t xml:space="preserve">Slide 14-15-How do you </w:t>
      </w:r>
      <w:r w:rsidR="00514BE1">
        <w:rPr>
          <w:rFonts w:cstheme="minorHAnsi"/>
        </w:rPr>
        <w:t xml:space="preserve">plan to </w:t>
      </w:r>
      <w:r w:rsidRPr="009B71FE">
        <w:rPr>
          <w:rFonts w:cstheme="minorHAnsi"/>
        </w:rPr>
        <w:t>account for the uncertainty around avoided costs</w:t>
      </w:r>
      <w:r w:rsidR="00514BE1">
        <w:rPr>
          <w:rFonts w:cstheme="minorHAnsi"/>
        </w:rPr>
        <w:t xml:space="preserve"> that have significant impacts on what savings are cost effective</w:t>
      </w:r>
      <w:r w:rsidRPr="009B71FE">
        <w:rPr>
          <w:rFonts w:cstheme="minorHAnsi"/>
        </w:rPr>
        <w:t>.  SDGE</w:t>
      </w:r>
      <w:r w:rsidR="00514BE1">
        <w:rPr>
          <w:rFonts w:cstheme="minorHAnsi"/>
        </w:rPr>
        <w:t>&amp;</w:t>
      </w:r>
      <w:r w:rsidRPr="009B71FE">
        <w:rPr>
          <w:rFonts w:cstheme="minorHAnsi"/>
        </w:rPr>
        <w:t xml:space="preserve"> </w:t>
      </w:r>
      <w:r w:rsidR="00514BE1">
        <w:rPr>
          <w:rFonts w:cstheme="minorHAnsi"/>
        </w:rPr>
        <w:t xml:space="preserve">recommends that the study should provide </w:t>
      </w:r>
      <w:r w:rsidRPr="009B71FE">
        <w:rPr>
          <w:rFonts w:cstheme="minorHAnsi"/>
        </w:rPr>
        <w:t>various scenarios around avoided costs.</w:t>
      </w:r>
      <w:r w:rsidR="00514BE1">
        <w:rPr>
          <w:rFonts w:cstheme="minorHAnsi"/>
        </w:rPr>
        <w:t xml:space="preserve">  In addition, sensitivity analysis around the changes in avoided costs (potential scenarios) and load shapes should be included as part of the potential study. Given, SDG&amp;E’s recommendation, will this be addressed by the statement on Slide 21, “</w:t>
      </w:r>
      <w:r w:rsidR="00514BE1" w:rsidRPr="00514BE1">
        <w:rPr>
          <w:rFonts w:cstheme="minorHAnsi"/>
        </w:rPr>
        <w:t>The CPUC would like to consider multiple scenarios to inform goal setting</w:t>
      </w:r>
      <w:r w:rsidR="00514BE1">
        <w:rPr>
          <w:rFonts w:cstheme="minorHAnsi"/>
        </w:rPr>
        <w:t xml:space="preserve"> </w:t>
      </w:r>
      <w:r w:rsidR="00514BE1" w:rsidRPr="00514BE1">
        <w:rPr>
          <w:rFonts w:cstheme="minorHAnsi"/>
        </w:rPr>
        <w:t>process</w:t>
      </w:r>
      <w:r w:rsidR="00514BE1">
        <w:rPr>
          <w:rFonts w:cstheme="minorHAnsi"/>
        </w:rPr>
        <w:t>.”</w:t>
      </w:r>
    </w:p>
    <w:p w:rsidR="009B71FE" w:rsidRPr="009B71FE" w:rsidRDefault="009B71FE" w:rsidP="00F815F3">
      <w:pPr>
        <w:ind w:left="720"/>
        <w:rPr>
          <w:rFonts w:cstheme="minorHAnsi"/>
        </w:rPr>
      </w:pPr>
      <w:r w:rsidRPr="009B71FE">
        <w:rPr>
          <w:rFonts w:cstheme="minorHAnsi"/>
        </w:rPr>
        <w:t xml:space="preserve">Slide 21- The statement “Scenarios will not consider external uncertainties (i.e. low/mid/high population forecast) but rather focus on things that the CPUC and IOUs can influence” needs some clarity.  </w:t>
      </w:r>
      <w:r w:rsidR="00514BE1">
        <w:rPr>
          <w:rFonts w:cstheme="minorHAnsi"/>
        </w:rPr>
        <w:t>It is not clear how the example of changes in population would not impact AAEE given that population impacts energy consumption and actual sales.</w:t>
      </w:r>
    </w:p>
    <w:p w:rsidR="009B71FE" w:rsidRPr="009B71FE" w:rsidRDefault="009B71FE" w:rsidP="00F815F3">
      <w:pPr>
        <w:ind w:left="720"/>
        <w:rPr>
          <w:rFonts w:cstheme="minorHAnsi"/>
        </w:rPr>
      </w:pPr>
      <w:r w:rsidRPr="009B71FE">
        <w:rPr>
          <w:rFonts w:cstheme="minorHAnsi"/>
        </w:rPr>
        <w:t>Slide 21-</w:t>
      </w:r>
      <w:r w:rsidR="00F815F3">
        <w:rPr>
          <w:rFonts w:cstheme="minorHAnsi"/>
        </w:rPr>
        <w:t>If there were</w:t>
      </w:r>
      <w:r w:rsidR="00514BE1">
        <w:rPr>
          <w:rFonts w:cstheme="minorHAnsi"/>
        </w:rPr>
        <w:t xml:space="preserve"> several scenarios, how will the information be structured to allow decision-makers to select the appropriate goals?</w:t>
      </w:r>
    </w:p>
    <w:p w:rsidR="00E04615" w:rsidRDefault="00A24BA7" w:rsidP="00F815F3">
      <w:pPr>
        <w:ind w:left="720"/>
        <w:rPr>
          <w:rFonts w:cstheme="minorHAnsi"/>
        </w:rPr>
      </w:pPr>
      <w:r>
        <w:rPr>
          <w:rFonts w:cstheme="minorHAnsi"/>
        </w:rPr>
        <w:t xml:space="preserve">Slide 23-There have been discussions in the EE proceeding and others, </w:t>
      </w:r>
      <w:r w:rsidR="00F815F3">
        <w:rPr>
          <w:rFonts w:cstheme="minorHAnsi"/>
        </w:rPr>
        <w:t>(</w:t>
      </w:r>
      <w:r>
        <w:rPr>
          <w:rFonts w:cstheme="minorHAnsi"/>
        </w:rPr>
        <w:t>e.g., IDER, DER</w:t>
      </w:r>
      <w:r w:rsidR="00F815F3">
        <w:rPr>
          <w:rFonts w:cstheme="minorHAnsi"/>
        </w:rPr>
        <w:t>, IRP</w:t>
      </w:r>
      <w:r>
        <w:rPr>
          <w:rFonts w:cstheme="minorHAnsi"/>
        </w:rPr>
        <w:t xml:space="preserve"> </w:t>
      </w:r>
      <w:r w:rsidR="00F815F3">
        <w:rPr>
          <w:rFonts w:cstheme="minorHAnsi"/>
        </w:rPr>
        <w:t xml:space="preserve">proceedings) </w:t>
      </w:r>
      <w:r>
        <w:rPr>
          <w:rFonts w:cstheme="minorHAnsi"/>
        </w:rPr>
        <w:t>regarding the appropriate cost effectiveness tests to use.</w:t>
      </w:r>
      <w:r w:rsidR="00F815F3">
        <w:rPr>
          <w:rStyle w:val="FootnoteReference"/>
          <w:rFonts w:cstheme="minorHAnsi"/>
        </w:rPr>
        <w:footnoteReference w:id="2"/>
      </w:r>
      <w:r>
        <w:rPr>
          <w:rFonts w:cstheme="minorHAnsi"/>
        </w:rPr>
        <w:t xml:space="preserve">  Since the Commission is still exploring these other tests (</w:t>
      </w:r>
      <w:r w:rsidR="00F815F3">
        <w:rPr>
          <w:rFonts w:cstheme="minorHAnsi"/>
        </w:rPr>
        <w:t xml:space="preserve">e.g., </w:t>
      </w:r>
      <w:r>
        <w:rPr>
          <w:rFonts w:cstheme="minorHAnsi"/>
        </w:rPr>
        <w:t>PAC, SCT)</w:t>
      </w:r>
      <w:r w:rsidR="00F815F3">
        <w:rPr>
          <w:rFonts w:cstheme="minorHAnsi"/>
        </w:rPr>
        <w:t xml:space="preserve"> as the basis for cost effectiveness</w:t>
      </w:r>
      <w:r>
        <w:rPr>
          <w:rFonts w:cstheme="minorHAnsi"/>
        </w:rPr>
        <w:t>, that it would be appropriate to create scenarios around prospective changes in the test used for determining cost effectiveness.</w:t>
      </w:r>
    </w:p>
    <w:p w:rsidR="00A24BA7" w:rsidRDefault="00A24BA7" w:rsidP="00F815F3">
      <w:pPr>
        <w:ind w:left="720"/>
        <w:rPr>
          <w:rFonts w:cstheme="minorHAnsi"/>
        </w:rPr>
      </w:pPr>
      <w:r>
        <w:rPr>
          <w:rFonts w:cstheme="minorHAnsi"/>
        </w:rPr>
        <w:t xml:space="preserve">Portfolios include calibrating the measures to be included by the size of the various end uses.  Larger endues that use a bigger portion of consumption are logical areas of program targeting.  Therefore, SDG&amp;E recommends exploring </w:t>
      </w:r>
      <w:r w:rsidR="00E309B9">
        <w:rPr>
          <w:rFonts w:cstheme="minorHAnsi"/>
        </w:rPr>
        <w:t>calibrating</w:t>
      </w:r>
      <w:r>
        <w:rPr>
          <w:rFonts w:cstheme="minorHAnsi"/>
        </w:rPr>
        <w:t xml:space="preserve"> at the end use level followed by the technologies available to address the end use.  For example Lighting is a major end use.  </w:t>
      </w:r>
      <w:r w:rsidR="00E309B9">
        <w:rPr>
          <w:rFonts w:cstheme="minorHAnsi"/>
        </w:rPr>
        <w:t>I</w:t>
      </w:r>
      <w:r>
        <w:rPr>
          <w:rFonts w:cstheme="minorHAnsi"/>
        </w:rPr>
        <w:t xml:space="preserve">t would be informative if the potential could provide information that would indicate that </w:t>
      </w:r>
      <w:r w:rsidR="00E309B9">
        <w:rPr>
          <w:rFonts w:cstheme="minorHAnsi"/>
        </w:rPr>
        <w:t xml:space="preserve">“at present or </w:t>
      </w:r>
      <w:r w:rsidR="00E309B9">
        <w:rPr>
          <w:rFonts w:cstheme="minorHAnsi"/>
        </w:rPr>
        <w:lastRenderedPageBreak/>
        <w:t>near future” there are no remaining cost effective lighting technologies/measures or that Emerging Technology would be the source of cost effective EE lighting technologies.</w:t>
      </w:r>
    </w:p>
    <w:p w:rsidR="00E309B9" w:rsidRDefault="00E309B9" w:rsidP="00F815F3">
      <w:pPr>
        <w:ind w:left="720"/>
        <w:rPr>
          <w:rFonts w:cstheme="minorHAnsi"/>
        </w:rPr>
      </w:pPr>
      <w:r>
        <w:rPr>
          <w:rFonts w:cstheme="minorHAnsi"/>
        </w:rPr>
        <w:t>Slide 24-Historical $/KWH combined with $/KW or $/therm are good places to start in terms of understanding what it cost the ratepayers to achieve a certain amount of energy savings.  Understanding how much it would cost to achieve the next portfolio of energy savings would be most helpful.  However, this would mean also understanding customer response/barriers to technology offers.  In some cases, rebates/incentives are not sufficient to get customers to adopt certain technologies and this should be part of the scenario building. On the other hand, the scenarios should also account for free-driver effects thus potentially reducing the cost of savings.</w:t>
      </w:r>
    </w:p>
    <w:p w:rsidR="00E04615" w:rsidRPr="009B71FE" w:rsidRDefault="00E04615" w:rsidP="00F815F3">
      <w:pPr>
        <w:ind w:left="720"/>
        <w:rPr>
          <w:rFonts w:cstheme="minorHAnsi"/>
        </w:rPr>
      </w:pPr>
      <w:r w:rsidRPr="009B71FE">
        <w:rPr>
          <w:rFonts w:cstheme="minorHAnsi"/>
        </w:rPr>
        <w:t xml:space="preserve">Slide 27-Question 2.  </w:t>
      </w:r>
      <w:r w:rsidR="009B71FE" w:rsidRPr="009B71FE">
        <w:rPr>
          <w:rFonts w:cstheme="minorHAnsi"/>
        </w:rPr>
        <w:t xml:space="preserve">Yes, </w:t>
      </w:r>
      <w:r w:rsidR="0023168A">
        <w:rPr>
          <w:rFonts w:cstheme="minorHAnsi"/>
        </w:rPr>
        <w:t>different scenarios should consider different financing levels/schemes.  At present there are financing pilots but not all have been fully deployed and cannot provide complete information.  However, there are claims that other financing models are successful such as ARRA-funded financing programs, PACE, and other government agency-sponsored models.  It would be useful to see scenarios around these existing models, in addition to On-Bill Financing.</w:t>
      </w:r>
    </w:p>
    <w:p w:rsidR="009B71FE" w:rsidRDefault="0023168A" w:rsidP="00F815F3">
      <w:pPr>
        <w:ind w:left="720"/>
      </w:pPr>
      <w:r>
        <w:t xml:space="preserve">Slide 29 – It would </w:t>
      </w:r>
      <w:r w:rsidR="00F815F3">
        <w:t xml:space="preserve">be </w:t>
      </w:r>
      <w:r w:rsidR="00B010EB">
        <w:t>useful</w:t>
      </w:r>
      <w:bookmarkStart w:id="0" w:name="_GoBack"/>
      <w:bookmarkEnd w:id="0"/>
      <w:r>
        <w:t xml:space="preserve"> to see scenarios built around holistic approaches</w:t>
      </w:r>
      <w:r w:rsidR="00F815F3">
        <w:t>/program designs</w:t>
      </w:r>
      <w:r>
        <w:t xml:space="preserve"> that develop potential long-term energy road maps for customers</w:t>
      </w:r>
      <w:r w:rsidR="00F815F3">
        <w:t>, in addition to looking at just individual technologies or end uses</w:t>
      </w:r>
      <w:r>
        <w:t>.  An example would be Strategic Energy Management programs.</w:t>
      </w:r>
    </w:p>
    <w:sectPr w:rsidR="009B71F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7D4" w:rsidRDefault="00A467D4" w:rsidP="00810B4A">
      <w:pPr>
        <w:spacing w:after="0" w:line="240" w:lineRule="auto"/>
      </w:pPr>
      <w:r>
        <w:separator/>
      </w:r>
    </w:p>
  </w:endnote>
  <w:endnote w:type="continuationSeparator" w:id="0">
    <w:p w:rsidR="00A467D4" w:rsidRDefault="00A467D4" w:rsidP="00810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101027"/>
      <w:docPartObj>
        <w:docPartGallery w:val="Page Numbers (Bottom of Page)"/>
        <w:docPartUnique/>
      </w:docPartObj>
    </w:sdtPr>
    <w:sdtEndPr>
      <w:rPr>
        <w:noProof/>
      </w:rPr>
    </w:sdtEndPr>
    <w:sdtContent>
      <w:p w:rsidR="0023168A" w:rsidRDefault="008D6AB4">
        <w:pPr>
          <w:pStyle w:val="Footer"/>
          <w:jc w:val="right"/>
        </w:pPr>
        <w:r>
          <w:t>SDG&amp;E-</w:t>
        </w:r>
        <w:r w:rsidR="0023168A">
          <w:fldChar w:fldCharType="begin"/>
        </w:r>
        <w:r w:rsidR="0023168A">
          <w:instrText xml:space="preserve"> PAGE   \* MERGEFORMAT </w:instrText>
        </w:r>
        <w:r w:rsidR="0023168A">
          <w:fldChar w:fldCharType="separate"/>
        </w:r>
        <w:r w:rsidR="0043696D">
          <w:rPr>
            <w:noProof/>
          </w:rPr>
          <w:t>1</w:t>
        </w:r>
        <w:r w:rsidR="0023168A">
          <w:rPr>
            <w:noProof/>
          </w:rPr>
          <w:fldChar w:fldCharType="end"/>
        </w:r>
      </w:p>
    </w:sdtContent>
  </w:sdt>
  <w:p w:rsidR="0023168A" w:rsidRDefault="008D6AB4">
    <w:pPr>
      <w:pStyle w:val="Footer"/>
    </w:pPr>
    <w:r>
      <w:t>12/22/2016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7D4" w:rsidRDefault="00A467D4" w:rsidP="00810B4A">
      <w:pPr>
        <w:spacing w:after="0" w:line="240" w:lineRule="auto"/>
      </w:pPr>
      <w:r>
        <w:separator/>
      </w:r>
    </w:p>
  </w:footnote>
  <w:footnote w:type="continuationSeparator" w:id="0">
    <w:p w:rsidR="00A467D4" w:rsidRDefault="00A467D4" w:rsidP="00810B4A">
      <w:pPr>
        <w:spacing w:after="0" w:line="240" w:lineRule="auto"/>
      </w:pPr>
      <w:r>
        <w:continuationSeparator/>
      </w:r>
    </w:p>
  </w:footnote>
  <w:footnote w:id="1">
    <w:p w:rsidR="00F815F3" w:rsidRDefault="00F815F3">
      <w:pPr>
        <w:pStyle w:val="FootnoteText"/>
      </w:pPr>
      <w:r>
        <w:rPr>
          <w:rStyle w:val="FootnoteReference"/>
        </w:rPr>
        <w:footnoteRef/>
      </w:r>
      <w:r>
        <w:t xml:space="preserve"> </w:t>
      </w:r>
      <w:proofErr w:type="gramStart"/>
      <w:r>
        <w:t>A</w:t>
      </w:r>
      <w:r w:rsidRPr="00F815F3">
        <w:t xml:space="preserve">vailable at </w:t>
      </w:r>
      <w:hyperlink r:id="rId1" w:history="1">
        <w:r w:rsidRPr="006D59F5">
          <w:rPr>
            <w:rStyle w:val="Hyperlink"/>
          </w:rPr>
          <w:t>http://demandanalysisworkinggroup.org/documents/2016_12_12_DAWG_ES_pup_EE_pot/DAWG_Dec_12_Market_Potential_Workshop_Public_Preview.pdf</w:t>
        </w:r>
      </w:hyperlink>
      <w:r w:rsidRPr="00F815F3">
        <w:t>)</w:t>
      </w:r>
      <w:r>
        <w:t>.</w:t>
      </w:r>
      <w:proofErr w:type="gramEnd"/>
    </w:p>
    <w:p w:rsidR="00F815F3" w:rsidRDefault="00F815F3">
      <w:pPr>
        <w:pStyle w:val="FootnoteText"/>
      </w:pPr>
    </w:p>
  </w:footnote>
  <w:footnote w:id="2">
    <w:p w:rsidR="00F815F3" w:rsidRDefault="00F815F3">
      <w:pPr>
        <w:pStyle w:val="FootnoteText"/>
      </w:pPr>
      <w:r>
        <w:rPr>
          <w:rStyle w:val="FootnoteReference"/>
        </w:rPr>
        <w:footnoteRef/>
      </w:r>
      <w:r>
        <w:t xml:space="preserve"> </w:t>
      </w:r>
      <w:proofErr w:type="gramStart"/>
      <w:r>
        <w:t xml:space="preserve">IDER, R.14-10-003; DRP, </w:t>
      </w:r>
      <w:r w:rsidRPr="00F815F3">
        <w:t>R.14-08-013</w:t>
      </w:r>
      <w:r>
        <w:t>.</w:t>
      </w:r>
      <w:proofErr w:type="gramEnd"/>
      <w:r>
        <w:t xml:space="preserve"> IRP, </w:t>
      </w:r>
      <w:r w:rsidRPr="00F815F3">
        <w:t>R. 16-02-007</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615"/>
    <w:rsid w:val="00043153"/>
    <w:rsid w:val="0023168A"/>
    <w:rsid w:val="0035182C"/>
    <w:rsid w:val="003C1042"/>
    <w:rsid w:val="0043696D"/>
    <w:rsid w:val="00454B4D"/>
    <w:rsid w:val="00514BE1"/>
    <w:rsid w:val="00810B4A"/>
    <w:rsid w:val="008449E2"/>
    <w:rsid w:val="00866852"/>
    <w:rsid w:val="008D6AB4"/>
    <w:rsid w:val="009B71FE"/>
    <w:rsid w:val="00A24BA7"/>
    <w:rsid w:val="00A467D4"/>
    <w:rsid w:val="00B010EB"/>
    <w:rsid w:val="00E04615"/>
    <w:rsid w:val="00E309B9"/>
    <w:rsid w:val="00F81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0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B4A"/>
  </w:style>
  <w:style w:type="paragraph" w:styleId="Footer">
    <w:name w:val="footer"/>
    <w:basedOn w:val="Normal"/>
    <w:link w:val="FooterChar"/>
    <w:uiPriority w:val="99"/>
    <w:unhideWhenUsed/>
    <w:rsid w:val="00810B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B4A"/>
  </w:style>
  <w:style w:type="paragraph" w:customStyle="1" w:styleId="p1">
    <w:name w:val="p1"/>
    <w:basedOn w:val="Normal"/>
    <w:rsid w:val="00810B4A"/>
    <w:pPr>
      <w:spacing w:after="0" w:line="240" w:lineRule="auto"/>
    </w:pPr>
    <w:rPr>
      <w:rFonts w:ascii="Helvetica" w:hAnsi="Helvetica" w:cs="Times New Roman"/>
      <w:color w:val="000000"/>
      <w:sz w:val="21"/>
      <w:szCs w:val="21"/>
    </w:rPr>
  </w:style>
  <w:style w:type="character" w:styleId="Hyperlink">
    <w:name w:val="Hyperlink"/>
    <w:basedOn w:val="DefaultParagraphFont"/>
    <w:uiPriority w:val="99"/>
    <w:unhideWhenUsed/>
    <w:rsid w:val="00514BE1"/>
    <w:rPr>
      <w:color w:val="0563C1" w:themeColor="hyperlink"/>
      <w:u w:val="single"/>
    </w:rPr>
  </w:style>
  <w:style w:type="paragraph" w:styleId="FootnoteText">
    <w:name w:val="footnote text"/>
    <w:basedOn w:val="Normal"/>
    <w:link w:val="FootnoteTextChar"/>
    <w:uiPriority w:val="99"/>
    <w:semiHidden/>
    <w:unhideWhenUsed/>
    <w:rsid w:val="00F815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5F3"/>
    <w:rPr>
      <w:sz w:val="20"/>
      <w:szCs w:val="20"/>
    </w:rPr>
  </w:style>
  <w:style w:type="character" w:styleId="FootnoteReference">
    <w:name w:val="footnote reference"/>
    <w:basedOn w:val="DefaultParagraphFont"/>
    <w:uiPriority w:val="99"/>
    <w:semiHidden/>
    <w:unhideWhenUsed/>
    <w:rsid w:val="00F815F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0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B4A"/>
  </w:style>
  <w:style w:type="paragraph" w:styleId="Footer">
    <w:name w:val="footer"/>
    <w:basedOn w:val="Normal"/>
    <w:link w:val="FooterChar"/>
    <w:uiPriority w:val="99"/>
    <w:unhideWhenUsed/>
    <w:rsid w:val="00810B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B4A"/>
  </w:style>
  <w:style w:type="paragraph" w:customStyle="1" w:styleId="p1">
    <w:name w:val="p1"/>
    <w:basedOn w:val="Normal"/>
    <w:rsid w:val="00810B4A"/>
    <w:pPr>
      <w:spacing w:after="0" w:line="240" w:lineRule="auto"/>
    </w:pPr>
    <w:rPr>
      <w:rFonts w:ascii="Helvetica" w:hAnsi="Helvetica" w:cs="Times New Roman"/>
      <w:color w:val="000000"/>
      <w:sz w:val="21"/>
      <w:szCs w:val="21"/>
    </w:rPr>
  </w:style>
  <w:style w:type="character" w:styleId="Hyperlink">
    <w:name w:val="Hyperlink"/>
    <w:basedOn w:val="DefaultParagraphFont"/>
    <w:uiPriority w:val="99"/>
    <w:unhideWhenUsed/>
    <w:rsid w:val="00514BE1"/>
    <w:rPr>
      <w:color w:val="0563C1" w:themeColor="hyperlink"/>
      <w:u w:val="single"/>
    </w:rPr>
  </w:style>
  <w:style w:type="paragraph" w:styleId="FootnoteText">
    <w:name w:val="footnote text"/>
    <w:basedOn w:val="Normal"/>
    <w:link w:val="FootnoteTextChar"/>
    <w:uiPriority w:val="99"/>
    <w:semiHidden/>
    <w:unhideWhenUsed/>
    <w:rsid w:val="00F815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5F3"/>
    <w:rPr>
      <w:sz w:val="20"/>
      <w:szCs w:val="20"/>
    </w:rPr>
  </w:style>
  <w:style w:type="character" w:styleId="FootnoteReference">
    <w:name w:val="footnote reference"/>
    <w:basedOn w:val="DefaultParagraphFont"/>
    <w:uiPriority w:val="99"/>
    <w:semiHidden/>
    <w:unhideWhenUsed/>
    <w:rsid w:val="00F815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emandanalysisworkinggroup.org/documents/2016_12_12_DAWG_ES_pup_EE_pot/DAWG_Dec_12_Market_Potential_Workshop_Public_Preview.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6A0CD-A6BB-4095-8335-B9261409D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Sempra Energy</Company>
  <LinksUpToDate>false</LinksUpToDate>
  <CharactersWithSpaces>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Emge, Jesse B</dc:creator>
  <cp:lastModifiedBy>Besa, Athena</cp:lastModifiedBy>
  <cp:revision>2</cp:revision>
  <dcterms:created xsi:type="dcterms:W3CDTF">2016-12-23T02:01:00Z</dcterms:created>
  <dcterms:modified xsi:type="dcterms:W3CDTF">2016-12-23T02:01:00Z</dcterms:modified>
</cp:coreProperties>
</file>